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112C3CE1" w:rsidR="00DB49BB" w:rsidRDefault="00790F9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Trainee Property Consultant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4DE9C4A3" w:rsidR="00AB11B6" w:rsidRDefault="00790F9C">
            <w:r>
              <w:t xml:space="preserve">Country Properties Hatfield 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59D1C9F3" w:rsidR="00AB11B6" w:rsidRDefault="00B24608">
            <w:r w:rsidRPr="00B24608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AL9 5BG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0F9715F5" w14:textId="77777777" w:rsidR="0006514D" w:rsidRDefault="0006514D" w:rsidP="0006514D">
            <w:pPr>
              <w:pStyle w:val="ListParagraph"/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The main purpose of this role is to provide  support to sales and lettings department </w:t>
            </w:r>
          </w:p>
          <w:p w14:paraId="323223C2" w14:textId="77777777" w:rsidR="0006514D" w:rsidRDefault="0006514D" w:rsidP="0006514D">
            <w:pPr>
              <w:pStyle w:val="ListParagraph"/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</w:rPr>
            </w:pPr>
          </w:p>
          <w:p w14:paraId="48929574" w14:textId="77777777" w:rsidR="0006514D" w:rsidRDefault="0006514D" w:rsidP="0006514D">
            <w:pPr>
              <w:pStyle w:val="ListParagraph"/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In-bound call answering, and responding to email enquires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>- Ensure all calls are answered promptly and efficiently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>- Booking valuations, viewings and maintaining accurate customer records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 xml:space="preserve">- Liaising with vendors, buyers, </w:t>
            </w:r>
            <w:proofErr w:type="gramStart"/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tenants</w:t>
            </w:r>
            <w:proofErr w:type="gramEnd"/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and landlords where appropriate to deliver excellent customer service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>- Outbound calling to generate leads for new properties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 xml:space="preserve">- Carrying out property viewings </w:t>
            </w: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br/>
              <w:t>Managing process of all new and renewal tenancy applications from point of offer agreed to move in</w:t>
            </w:r>
          </w:p>
          <w:p w14:paraId="3A7C6406" w14:textId="77777777" w:rsidR="0006514D" w:rsidRDefault="0006514D" w:rsidP="000651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2" w:lineRule="auto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Monitoring of third-party reference providers</w:t>
            </w:r>
          </w:p>
          <w:p w14:paraId="51160EB3" w14:textId="77777777" w:rsidR="0006514D" w:rsidRDefault="0006514D" w:rsidP="000651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2" w:lineRule="auto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Ensuring paper and electronic lettings and renewals files are properly completed, verified, and signed off</w:t>
            </w:r>
          </w:p>
          <w:p w14:paraId="563EBEAB" w14:textId="77777777" w:rsidR="0006514D" w:rsidRDefault="0006514D" w:rsidP="000651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2" w:lineRule="auto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Contacting Tenants to confirm rental payment details</w:t>
            </w:r>
          </w:p>
          <w:p w14:paraId="40259790" w14:textId="77777777" w:rsidR="0006514D" w:rsidRDefault="0006514D" w:rsidP="000651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52" w:lineRule="auto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Management of tenancy renewals including liaising with Lettings Manager to recommend options on tenancy end and progressing renewals where appropriate</w:t>
            </w:r>
          </w:p>
          <w:p w14:paraId="411056C9" w14:textId="31B608F5" w:rsidR="00880469" w:rsidRPr="001313E6" w:rsidRDefault="00880469" w:rsidP="00131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E118E" w14:textId="77777777" w:rsidR="00B21966" w:rsidRDefault="00B21966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75404E">
        <w:trPr>
          <w:trHeight w:hRule="exact" w:val="732"/>
        </w:trPr>
        <w:tc>
          <w:tcPr>
            <w:tcW w:w="13750" w:type="dxa"/>
          </w:tcPr>
          <w:p w14:paraId="10F80390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525833AE" w14:textId="77777777" w:rsidR="0075404E" w:rsidRDefault="0075404E" w:rsidP="00622382">
            <w:pPr>
              <w:rPr>
                <w:rFonts w:ascii="Arial" w:hAnsi="Arial" w:cs="Arial"/>
                <w:color w:val="000000"/>
              </w:rPr>
            </w:pPr>
          </w:p>
          <w:p w14:paraId="6383A5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7D4347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89AB179" w14:textId="4C5FF203" w:rsidR="00880469" w:rsidRPr="00B21966" w:rsidRDefault="00880469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1047A13B" w14:textId="68A18C23" w:rsidR="007E7CEB" w:rsidRDefault="007E7CEB" w:rsidP="007E7CEB">
            <w:r>
              <w:t>25 hours p/w. Monday to Friday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p w14:paraId="48BC7E7B" w14:textId="77777777" w:rsidR="0075404E" w:rsidRDefault="0075404E"/>
    <w:p w14:paraId="5F027592" w14:textId="77777777" w:rsidR="0075404E" w:rsidRDefault="0075404E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lastRenderedPageBreak/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4"/>
        <w:gridCol w:w="1123"/>
        <w:gridCol w:w="1255"/>
        <w:gridCol w:w="1390"/>
        <w:gridCol w:w="1456"/>
        <w:gridCol w:w="1201"/>
        <w:gridCol w:w="2208"/>
        <w:gridCol w:w="2909"/>
        <w:gridCol w:w="2008"/>
        <w:gridCol w:w="4419"/>
        <w:gridCol w:w="2053"/>
      </w:tblGrid>
      <w:tr w:rsidR="00417B89" w:rsidRPr="00AD4A91" w14:paraId="3A1861A9" w14:textId="77777777" w:rsidTr="00417B89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09BE0245" w14:textId="77777777" w:rsidTr="00EE2A12">
        <w:tc>
          <w:tcPr>
            <w:tcW w:w="2647" w:type="dxa"/>
            <w:gridSpan w:val="2"/>
          </w:tcPr>
          <w:p w14:paraId="54675C25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55" w:type="dxa"/>
          </w:tcPr>
          <w:p w14:paraId="67837E8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56" w:type="dxa"/>
          </w:tcPr>
          <w:p w14:paraId="4BE20450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1" w:type="dxa"/>
          </w:tcPr>
          <w:p w14:paraId="38CC3C24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08" w:type="dxa"/>
          </w:tcPr>
          <w:p w14:paraId="0E2C0B12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4AB16AC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FDAAA99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52CF744A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3D3F8981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26395AE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454BD883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1E2659" w:rsidRPr="00071433" w14:paraId="22BDE107" w14:textId="77777777" w:rsidTr="00EE2A12">
        <w:trPr>
          <w:trHeight w:val="20"/>
        </w:trPr>
        <w:tc>
          <w:tcPr>
            <w:tcW w:w="2647" w:type="dxa"/>
            <w:gridSpan w:val="2"/>
          </w:tcPr>
          <w:p w14:paraId="475BCC92" w14:textId="1CFF638A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9B0D74">
              <w:rPr>
                <w:bCs/>
                <w:sz w:val="20"/>
                <w:szCs w:val="20"/>
              </w:rPr>
              <w:t>Office</w:t>
            </w:r>
            <w:r w:rsidR="00B712EA">
              <w:rPr>
                <w:bCs/>
                <w:sz w:val="20"/>
                <w:szCs w:val="20"/>
              </w:rPr>
              <w:t xml:space="preserve"> and on-siter property visits</w:t>
            </w:r>
          </w:p>
        </w:tc>
        <w:tc>
          <w:tcPr>
            <w:tcW w:w="1255" w:type="dxa"/>
          </w:tcPr>
          <w:p w14:paraId="27C3D635" w14:textId="03573CF9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1EFD6894" w14:textId="7F993DC1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/21</w:t>
            </w:r>
          </w:p>
        </w:tc>
        <w:tc>
          <w:tcPr>
            <w:tcW w:w="1456" w:type="dxa"/>
          </w:tcPr>
          <w:p w14:paraId="7AA1A784" w14:textId="27169F2A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201" w:type="dxa"/>
          </w:tcPr>
          <w:p w14:paraId="26A4642C" w14:textId="4A0582A8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208" w:type="dxa"/>
          </w:tcPr>
          <w:p w14:paraId="1B36938D" w14:textId="77777777" w:rsidR="00CE6F8A" w:rsidRDefault="008E37D8" w:rsidP="001E2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The Broadway,</w:t>
            </w:r>
          </w:p>
          <w:p w14:paraId="7CFE36C5" w14:textId="77777777" w:rsidR="008E37D8" w:rsidRDefault="008E37D8" w:rsidP="001E2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Hatfield, Hertfordshire </w:t>
            </w:r>
          </w:p>
          <w:p w14:paraId="0BA3B126" w14:textId="3E7DD918" w:rsidR="008E37D8" w:rsidRPr="003626B6" w:rsidRDefault="008E37D8" w:rsidP="001E2659">
            <w:pPr>
              <w:rPr>
                <w:b/>
                <w:sz w:val="22"/>
                <w:szCs w:val="22"/>
              </w:rPr>
            </w:pPr>
            <w:r w:rsidRPr="008E37D8">
              <w:rPr>
                <w:b/>
                <w:sz w:val="22"/>
                <w:szCs w:val="22"/>
              </w:rPr>
              <w:t>AL9 5BG</w:t>
            </w:r>
          </w:p>
        </w:tc>
        <w:tc>
          <w:tcPr>
            <w:tcW w:w="2909" w:type="dxa"/>
          </w:tcPr>
          <w:p w14:paraId="7A7BD0CA" w14:textId="1DABE113" w:rsidR="001E2659" w:rsidRDefault="008E37D8" w:rsidP="001E26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Moby Rahman</w:t>
            </w:r>
          </w:p>
          <w:p w14:paraId="1F402DB8" w14:textId="77777777" w:rsidR="00371F59" w:rsidRDefault="00371F59" w:rsidP="001E2659">
            <w:pPr>
              <w:rPr>
                <w:bCs/>
                <w:sz w:val="22"/>
                <w:szCs w:val="22"/>
              </w:rPr>
            </w:pPr>
            <w:r w:rsidRPr="00371F59">
              <w:rPr>
                <w:bCs/>
                <w:sz w:val="22"/>
                <w:szCs w:val="22"/>
              </w:rPr>
              <w:t>07929668823</w:t>
            </w:r>
          </w:p>
          <w:p w14:paraId="21CFA505" w14:textId="31BC48C3" w:rsidR="001E2659" w:rsidRPr="003626B6" w:rsidRDefault="00371F59" w:rsidP="001E2659">
            <w:pPr>
              <w:rPr>
                <w:b/>
                <w:sz w:val="22"/>
                <w:szCs w:val="22"/>
              </w:rPr>
            </w:pPr>
            <w:hyperlink r:id="rId10" w:history="1">
              <w:r w:rsidRPr="002D1E8F">
                <w:rPr>
                  <w:rStyle w:val="Hyperlink"/>
                </w:rPr>
                <w:t>moby.rahman@country-properties.co.uk</w:t>
              </w:r>
            </w:hyperlink>
            <w:r>
              <w:t xml:space="preserve"> </w:t>
            </w:r>
            <w:r w:rsidR="00F12D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14:paraId="35FA7CB8" w14:textId="764090A8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/12/21</w:t>
            </w:r>
          </w:p>
        </w:tc>
        <w:tc>
          <w:tcPr>
            <w:tcW w:w="4419" w:type="dxa"/>
          </w:tcPr>
          <w:p w14:paraId="07F037E7" w14:textId="77777777" w:rsidR="001E2659" w:rsidRPr="004A2818" w:rsidRDefault="001E2659" w:rsidP="001E2659">
            <w:pPr>
              <w:rPr>
                <w:rFonts w:ascii="Arial" w:hAnsi="Arial" w:cs="Arial"/>
                <w:bCs/>
              </w:rPr>
            </w:pPr>
            <w:r w:rsidRPr="004A2818">
              <w:rPr>
                <w:rFonts w:ascii="Arial" w:hAnsi="Arial" w:cs="Arial"/>
                <w:bCs/>
              </w:rPr>
              <w:t>CV by email &amp; interview appointment time to be agreed with employer by phone.</w:t>
            </w:r>
          </w:p>
          <w:p w14:paraId="259D5BFB" w14:textId="77777777" w:rsidR="001E2659" w:rsidRPr="004A2818" w:rsidRDefault="001E2659" w:rsidP="001E26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2F806" w14:textId="10EA4F48" w:rsidR="001E2659" w:rsidRPr="003626B6" w:rsidRDefault="001E2659" w:rsidP="001E2659">
            <w:pPr>
              <w:pStyle w:val="ListParagraph"/>
              <w:ind w:left="1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1F01CA62" w14:textId="65AAD742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22-11-21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D4AC" w14:textId="77777777" w:rsidR="00154E6E" w:rsidRDefault="00154E6E" w:rsidP="00AB11B6">
      <w:r>
        <w:separator/>
      </w:r>
    </w:p>
  </w:endnote>
  <w:endnote w:type="continuationSeparator" w:id="0">
    <w:p w14:paraId="33DF8B2A" w14:textId="77777777" w:rsidR="00154E6E" w:rsidRDefault="00154E6E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6DF3" w14:textId="77777777" w:rsidR="00154E6E" w:rsidRDefault="00154E6E" w:rsidP="00AB11B6">
      <w:r>
        <w:separator/>
      </w:r>
    </w:p>
  </w:footnote>
  <w:footnote w:type="continuationSeparator" w:id="0">
    <w:p w14:paraId="701687DE" w14:textId="77777777" w:rsidR="00154E6E" w:rsidRDefault="00154E6E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FC5E56"/>
    <w:multiLevelType w:val="hybridMultilevel"/>
    <w:tmpl w:val="A26CB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606"/>
    <w:multiLevelType w:val="hybridMultilevel"/>
    <w:tmpl w:val="F31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00D0"/>
    <w:multiLevelType w:val="hybridMultilevel"/>
    <w:tmpl w:val="A87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4202024"/>
    <w:multiLevelType w:val="hybridMultilevel"/>
    <w:tmpl w:val="5F30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41060"/>
    <w:multiLevelType w:val="multilevel"/>
    <w:tmpl w:val="BD9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3355B"/>
    <w:rsid w:val="000429C3"/>
    <w:rsid w:val="0006514D"/>
    <w:rsid w:val="00071433"/>
    <w:rsid w:val="000E5640"/>
    <w:rsid w:val="0011449A"/>
    <w:rsid w:val="0011495F"/>
    <w:rsid w:val="00122AFF"/>
    <w:rsid w:val="001313E6"/>
    <w:rsid w:val="00132213"/>
    <w:rsid w:val="00154E6E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2659"/>
    <w:rsid w:val="001E5141"/>
    <w:rsid w:val="00243211"/>
    <w:rsid w:val="00243CE0"/>
    <w:rsid w:val="00256F67"/>
    <w:rsid w:val="00263207"/>
    <w:rsid w:val="00266E02"/>
    <w:rsid w:val="00292583"/>
    <w:rsid w:val="002975AF"/>
    <w:rsid w:val="002B6B63"/>
    <w:rsid w:val="002E368B"/>
    <w:rsid w:val="002F2223"/>
    <w:rsid w:val="00312212"/>
    <w:rsid w:val="00327172"/>
    <w:rsid w:val="003508BC"/>
    <w:rsid w:val="003626B6"/>
    <w:rsid w:val="00371F59"/>
    <w:rsid w:val="00395D38"/>
    <w:rsid w:val="003A01ED"/>
    <w:rsid w:val="003D1CB8"/>
    <w:rsid w:val="003E0E0D"/>
    <w:rsid w:val="003E1D51"/>
    <w:rsid w:val="004107E9"/>
    <w:rsid w:val="004124E1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4D633D"/>
    <w:rsid w:val="00583206"/>
    <w:rsid w:val="005952F0"/>
    <w:rsid w:val="005B3563"/>
    <w:rsid w:val="005E6A62"/>
    <w:rsid w:val="005E73B2"/>
    <w:rsid w:val="00614DDA"/>
    <w:rsid w:val="00622382"/>
    <w:rsid w:val="006414D0"/>
    <w:rsid w:val="00667899"/>
    <w:rsid w:val="0069327D"/>
    <w:rsid w:val="006B13B1"/>
    <w:rsid w:val="006C1D74"/>
    <w:rsid w:val="006C2AF0"/>
    <w:rsid w:val="006E0CE5"/>
    <w:rsid w:val="006F4C48"/>
    <w:rsid w:val="00707025"/>
    <w:rsid w:val="00735783"/>
    <w:rsid w:val="00735E0F"/>
    <w:rsid w:val="0075404E"/>
    <w:rsid w:val="00774145"/>
    <w:rsid w:val="00790F9C"/>
    <w:rsid w:val="00792664"/>
    <w:rsid w:val="007A757D"/>
    <w:rsid w:val="007A7BE2"/>
    <w:rsid w:val="007B6A5A"/>
    <w:rsid w:val="007D0D54"/>
    <w:rsid w:val="007D2474"/>
    <w:rsid w:val="007D54BB"/>
    <w:rsid w:val="007E7CEB"/>
    <w:rsid w:val="00803200"/>
    <w:rsid w:val="00803345"/>
    <w:rsid w:val="00812CF7"/>
    <w:rsid w:val="00843ED8"/>
    <w:rsid w:val="00862E97"/>
    <w:rsid w:val="00880469"/>
    <w:rsid w:val="00893C4B"/>
    <w:rsid w:val="008A0E39"/>
    <w:rsid w:val="008C0DE0"/>
    <w:rsid w:val="008D6E47"/>
    <w:rsid w:val="008E0E4E"/>
    <w:rsid w:val="008E37D8"/>
    <w:rsid w:val="008E3C6C"/>
    <w:rsid w:val="00900C5C"/>
    <w:rsid w:val="00913B03"/>
    <w:rsid w:val="00982AAD"/>
    <w:rsid w:val="009A172E"/>
    <w:rsid w:val="009D768D"/>
    <w:rsid w:val="009E7D83"/>
    <w:rsid w:val="00A31238"/>
    <w:rsid w:val="00A50163"/>
    <w:rsid w:val="00A61C70"/>
    <w:rsid w:val="00A6625A"/>
    <w:rsid w:val="00A97E15"/>
    <w:rsid w:val="00AB11B6"/>
    <w:rsid w:val="00AB39E3"/>
    <w:rsid w:val="00AD4A91"/>
    <w:rsid w:val="00AE4C4D"/>
    <w:rsid w:val="00AF3D05"/>
    <w:rsid w:val="00B07722"/>
    <w:rsid w:val="00B10453"/>
    <w:rsid w:val="00B15459"/>
    <w:rsid w:val="00B165DD"/>
    <w:rsid w:val="00B2079F"/>
    <w:rsid w:val="00B2148F"/>
    <w:rsid w:val="00B21966"/>
    <w:rsid w:val="00B24608"/>
    <w:rsid w:val="00B46F20"/>
    <w:rsid w:val="00B53DFD"/>
    <w:rsid w:val="00B712EA"/>
    <w:rsid w:val="00B776CB"/>
    <w:rsid w:val="00BA23AD"/>
    <w:rsid w:val="00BB377F"/>
    <w:rsid w:val="00BC5F03"/>
    <w:rsid w:val="00BD685C"/>
    <w:rsid w:val="00BE097D"/>
    <w:rsid w:val="00BE766D"/>
    <w:rsid w:val="00C26B53"/>
    <w:rsid w:val="00C33284"/>
    <w:rsid w:val="00C55A51"/>
    <w:rsid w:val="00C71F64"/>
    <w:rsid w:val="00C77BAC"/>
    <w:rsid w:val="00CB1C73"/>
    <w:rsid w:val="00CB75AF"/>
    <w:rsid w:val="00CC1CA1"/>
    <w:rsid w:val="00CD7FDB"/>
    <w:rsid w:val="00CE2F54"/>
    <w:rsid w:val="00CE6F8A"/>
    <w:rsid w:val="00CE7652"/>
    <w:rsid w:val="00CF3CBC"/>
    <w:rsid w:val="00CF6352"/>
    <w:rsid w:val="00D07402"/>
    <w:rsid w:val="00D267AC"/>
    <w:rsid w:val="00D36F90"/>
    <w:rsid w:val="00D54F79"/>
    <w:rsid w:val="00D65D51"/>
    <w:rsid w:val="00DB49BB"/>
    <w:rsid w:val="00DC1A5B"/>
    <w:rsid w:val="00DC55D3"/>
    <w:rsid w:val="00DE503C"/>
    <w:rsid w:val="00DE66A4"/>
    <w:rsid w:val="00E04CEF"/>
    <w:rsid w:val="00E2100D"/>
    <w:rsid w:val="00E23BD0"/>
    <w:rsid w:val="00E27630"/>
    <w:rsid w:val="00E4090D"/>
    <w:rsid w:val="00E7482E"/>
    <w:rsid w:val="00E74906"/>
    <w:rsid w:val="00EA6FD2"/>
    <w:rsid w:val="00EB3A57"/>
    <w:rsid w:val="00EC3BD4"/>
    <w:rsid w:val="00EC6D30"/>
    <w:rsid w:val="00EE2A12"/>
    <w:rsid w:val="00EF3B17"/>
    <w:rsid w:val="00F00531"/>
    <w:rsid w:val="00F12D9D"/>
    <w:rsid w:val="00F376BE"/>
    <w:rsid w:val="00F4316C"/>
    <w:rsid w:val="00F535BB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13E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by.rahman@country-properti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8</cp:revision>
  <dcterms:created xsi:type="dcterms:W3CDTF">2021-11-09T16:58:00Z</dcterms:created>
  <dcterms:modified xsi:type="dcterms:W3CDTF">2021-11-09T17:02:00Z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-689667195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