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6D1DD3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32E0E3A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74E473DA" w:rsidR="00DB49BB" w:rsidRPr="00DA6B7C" w:rsidRDefault="00DA6B7C">
            <w:pPr>
              <w:rPr>
                <w:b/>
                <w:bCs/>
              </w:rPr>
            </w:pPr>
            <w:r w:rsidRPr="00D17093">
              <w:rPr>
                <w:b/>
                <w:bCs/>
                <w:color w:val="454545"/>
              </w:rPr>
              <w:t>Junior Programme Marketing and Lead Generator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4974BC9A" w:rsidR="00AB11B6" w:rsidRDefault="00880ED8">
            <w:r>
              <w:t xml:space="preserve">Perfect Print Ltd 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6984913D" w:rsidR="00AB11B6" w:rsidRDefault="00121523">
            <w:r w:rsidRPr="00121523">
              <w:t>KT16 0AT</w:t>
            </w:r>
          </w:p>
        </w:tc>
      </w:tr>
    </w:tbl>
    <w:p w14:paraId="53BC2090" w14:textId="77777777" w:rsidR="00AB11B6" w:rsidRDefault="00AB11B6"/>
    <w:tbl>
      <w:tblPr>
        <w:tblStyle w:val="TableGrid"/>
        <w:tblW w:w="13750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5"/>
      </w:tblGrid>
      <w:tr w:rsidR="000E1DCE" w14:paraId="2FDF8ECE" w14:textId="77777777" w:rsidTr="00760750">
        <w:tc>
          <w:tcPr>
            <w:tcW w:w="7225" w:type="dxa"/>
          </w:tcPr>
          <w:p w14:paraId="587C0BB6" w14:textId="77777777" w:rsidR="000E1DCE" w:rsidRPr="00812CF7" w:rsidRDefault="000E1DCE" w:rsidP="00760750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5" w:type="dxa"/>
          </w:tcPr>
          <w:p w14:paraId="29DA1EE2" w14:textId="77777777" w:rsidR="000E1DCE" w:rsidRPr="00AB11B6" w:rsidRDefault="000E1DCE" w:rsidP="0076075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E1DCE" w14:paraId="585B5059" w14:textId="77777777" w:rsidTr="00760750">
        <w:tc>
          <w:tcPr>
            <w:tcW w:w="7225" w:type="dxa"/>
          </w:tcPr>
          <w:p w14:paraId="2E765259" w14:textId="77777777" w:rsidR="000E1DCE" w:rsidRPr="00653F73" w:rsidRDefault="000E1DCE" w:rsidP="00760750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5" w:type="dxa"/>
          </w:tcPr>
          <w:p w14:paraId="0C41EE30" w14:textId="77777777" w:rsidR="000E1DCE" w:rsidRDefault="000E1DCE" w:rsidP="00760750">
            <w:r w:rsidRPr="00C12268">
              <w:rPr>
                <w:rFonts w:ascii="Arial" w:hAnsi="Arial" w:cs="Arial"/>
              </w:rPr>
              <w:t>5 hours per day (</w:t>
            </w:r>
            <w:r>
              <w:rPr>
                <w:rFonts w:ascii="Arial" w:hAnsi="Arial" w:cs="Arial"/>
              </w:rPr>
              <w:t>Mon-Fri)</w:t>
            </w:r>
            <w:r w:rsidRPr="00C12268">
              <w:rPr>
                <w:rFonts w:ascii="Arial" w:hAnsi="Arial" w:cs="Arial"/>
              </w:rPr>
              <w:t xml:space="preserve"> 25 hours p/w</w:t>
            </w:r>
          </w:p>
        </w:tc>
      </w:tr>
      <w:tr w:rsidR="000E1DCE" w14:paraId="04D2A596" w14:textId="77777777" w:rsidTr="00760750">
        <w:tc>
          <w:tcPr>
            <w:tcW w:w="7225" w:type="dxa"/>
          </w:tcPr>
          <w:p w14:paraId="422646EA" w14:textId="77777777" w:rsidR="000E1DCE" w:rsidRPr="00653F73" w:rsidRDefault="000E1DCE" w:rsidP="0076075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5" w:type="dxa"/>
          </w:tcPr>
          <w:p w14:paraId="517B5E04" w14:textId="77777777" w:rsidR="000E1DCE" w:rsidRDefault="000E1DCE" w:rsidP="00760750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6121E30F" w:rsidR="00DB49BB" w:rsidRPr="00653F73" w:rsidRDefault="00DB49BB" w:rsidP="00653F7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3B5E90E7" w14:textId="77777777" w:rsidTr="00A97E15">
        <w:tc>
          <w:tcPr>
            <w:tcW w:w="13750" w:type="dxa"/>
          </w:tcPr>
          <w:p w14:paraId="60B552BD" w14:textId="77777777" w:rsidR="00077857" w:rsidRPr="00077857" w:rsidRDefault="00077857" w:rsidP="0007785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 xml:space="preserve">The ideal candidate is an entrepreneurial and creative out-of-the-box thinking digital native with a get-things-done attitude, who wants to grow in this </w:t>
            </w:r>
            <w:proofErr w:type="gramStart"/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fast growing</w:t>
            </w:r>
            <w:proofErr w:type="gramEnd"/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 xml:space="preserve"> agency.</w:t>
            </w:r>
          </w:p>
          <w:p w14:paraId="2733FDC5" w14:textId="77777777" w:rsidR="00077857" w:rsidRPr="00077857" w:rsidRDefault="00077857" w:rsidP="0007785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 xml:space="preserve">What separates you from other marketers is your relentless drive for running new tests and experiments on a regular basis. You love data, but even more, you </w:t>
            </w:r>
            <w:proofErr w:type="gramStart"/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actually love</w:t>
            </w:r>
            <w:proofErr w:type="gramEnd"/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 xml:space="preserve"> implementing changes based on those findings – instead of just creating dashboards.</w:t>
            </w:r>
          </w:p>
          <w:p w14:paraId="109B31A1" w14:textId="77777777" w:rsidR="00077857" w:rsidRPr="00077857" w:rsidRDefault="00077857" w:rsidP="0007785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Potentially you could have an important role to play in scaling up Creative Outputs lead generation and marketing efforts across all free and  paid channels.</w:t>
            </w:r>
          </w:p>
          <w:p w14:paraId="2CCBB6C5" w14:textId="77777777" w:rsidR="00077857" w:rsidRPr="00077857" w:rsidRDefault="00077857" w:rsidP="0007785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E2F6FC5" w14:textId="77777777" w:rsidR="00077857" w:rsidRPr="00077857" w:rsidRDefault="00077857" w:rsidP="0007785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Responsibilities:</w:t>
            </w:r>
          </w:p>
          <w:p w14:paraId="1CDFA7FE" w14:textId="77777777" w:rsidR="00077857" w:rsidRPr="00077857" w:rsidRDefault="00077857" w:rsidP="00077857">
            <w:pPr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﻿</w:t>
            </w:r>
          </w:p>
          <w:p w14:paraId="4B3C836E" w14:textId="77777777" w:rsidR="00077857" w:rsidRPr="00077857" w:rsidRDefault="00077857" w:rsidP="00077857">
            <w:pPr>
              <w:numPr>
                <w:ilvl w:val="0"/>
                <w:numId w:val="21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Managing paid ad campaigns across search, display, social, affiliates networks by conducting extensive keyword research, creative testing, performance optimization of all the channels </w:t>
            </w:r>
          </w:p>
          <w:p w14:paraId="6B8AE9BA" w14:textId="77777777" w:rsidR="00077857" w:rsidRPr="00077857" w:rsidRDefault="00077857" w:rsidP="00077857">
            <w:pPr>
              <w:numPr>
                <w:ilvl w:val="0"/>
                <w:numId w:val="21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Ensuring successful campaigns managing bids and budgets to be able to meet the predefined KPI’s.</w:t>
            </w:r>
          </w:p>
          <w:p w14:paraId="4B356B72" w14:textId="77777777" w:rsidR="00077857" w:rsidRPr="00077857" w:rsidRDefault="00077857" w:rsidP="00077857">
            <w:pPr>
              <w:numPr>
                <w:ilvl w:val="0"/>
                <w:numId w:val="21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Optimizing campaigns across multiple channels to deliver the best return on investment.</w:t>
            </w:r>
          </w:p>
          <w:p w14:paraId="5B67DD63" w14:textId="77777777" w:rsidR="00077857" w:rsidRPr="00077857" w:rsidRDefault="00077857" w:rsidP="00077857">
            <w:pPr>
              <w:numPr>
                <w:ilvl w:val="0"/>
                <w:numId w:val="21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You identify replicable marketing strategies, tactics and channels that address business pain points and convey product benefits to drive new customer acquisition – with an implement, test, and measure mindset-</w:t>
            </w:r>
          </w:p>
          <w:p w14:paraId="3AA50B29" w14:textId="77777777" w:rsidR="00077857" w:rsidRPr="00077857" w:rsidRDefault="00077857" w:rsidP="00077857">
            <w:pPr>
              <w:numPr>
                <w:ilvl w:val="0"/>
                <w:numId w:val="21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You test different value propositions and messages across different channels to find the best angle to introduce our product to each target group.</w:t>
            </w:r>
          </w:p>
          <w:p w14:paraId="68AA08D2" w14:textId="77777777" w:rsidR="00077857" w:rsidRPr="00077857" w:rsidRDefault="00077857" w:rsidP="00077857">
            <w:pPr>
              <w:numPr>
                <w:ilvl w:val="0"/>
                <w:numId w:val="21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7857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You build and run A/B tests across creatives and landing pages.</w:t>
            </w:r>
          </w:p>
          <w:p w14:paraId="5BC54E6D" w14:textId="5D15222C" w:rsidR="00666CF3" w:rsidRPr="00BE34E8" w:rsidRDefault="00666CF3" w:rsidP="00880ED8">
            <w:pPr>
              <w:rPr>
                <w:rFonts w:ascii="Arial" w:hAnsi="Arial" w:cs="Arial"/>
              </w:rPr>
            </w:pPr>
          </w:p>
        </w:tc>
      </w:tr>
    </w:tbl>
    <w:p w14:paraId="5E957B20" w14:textId="77777777" w:rsidR="00666CF3" w:rsidRDefault="00666CF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AA5E74">
        <w:tc>
          <w:tcPr>
            <w:tcW w:w="13750" w:type="dxa"/>
          </w:tcPr>
          <w:p w14:paraId="2519BA61" w14:textId="559A1A0E" w:rsidR="00DB49BB" w:rsidRDefault="00DB49BB" w:rsidP="00653F7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7BF9814D" w14:textId="77777777" w:rsidTr="000E1DCE">
        <w:trPr>
          <w:trHeight w:hRule="exact" w:val="3238"/>
        </w:trPr>
        <w:tc>
          <w:tcPr>
            <w:tcW w:w="13750" w:type="dxa"/>
          </w:tcPr>
          <w:p w14:paraId="683FE8B2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CD5E45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At least 1/2 years of professional experience doing PPC-advertising, Paid Social and Programmatic, either in an agency or in-house</w:t>
            </w:r>
          </w:p>
          <w:p w14:paraId="10A68A76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gramStart"/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Bachelor Degree in marketing</w:t>
            </w:r>
            <w:proofErr w:type="gramEnd"/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, business or equivalent</w:t>
            </w:r>
          </w:p>
          <w:p w14:paraId="601A7B0D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 xml:space="preserve">Preferred to have experience in </w:t>
            </w:r>
            <w:proofErr w:type="spellStart"/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Adform</w:t>
            </w:r>
            <w:proofErr w:type="spellEnd"/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, Google Ads, FB Business Manager, and/or other similar tools within the media stack</w:t>
            </w:r>
          </w:p>
          <w:p w14:paraId="72EF85AD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Having an entrepreneurial hands-on mindset</w:t>
            </w:r>
          </w:p>
          <w:p w14:paraId="69E82386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Fast and willing to learn</w:t>
            </w:r>
          </w:p>
          <w:p w14:paraId="09A7B841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Understanding of statistics and ability to support hypotheses with data</w:t>
            </w:r>
          </w:p>
          <w:p w14:paraId="025450A9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Experience in performance marketing</w:t>
            </w:r>
          </w:p>
          <w:p w14:paraId="77A71BF6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A/B Testing and Data Analytics experience</w:t>
            </w:r>
          </w:p>
          <w:p w14:paraId="60E8B1E4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Being curious and creative</w:t>
            </w:r>
          </w:p>
          <w:p w14:paraId="59FD5C9B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Being relentless in pursuit of growth</w:t>
            </w:r>
          </w:p>
          <w:p w14:paraId="67D68BE9" w14:textId="77777777" w:rsidR="000E1DCE" w:rsidRPr="000E1DCE" w:rsidRDefault="000E1DCE" w:rsidP="000E1DCE">
            <w:pPr>
              <w:numPr>
                <w:ilvl w:val="0"/>
                <w:numId w:val="22"/>
              </w:numPr>
              <w:shd w:val="clear" w:color="auto" w:fill="FFFFFF"/>
              <w:ind w:left="1200"/>
              <w:textAlignment w:val="baseline"/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E1DCE">
              <w:rPr>
                <w:rFonts w:ascii="Calibri" w:hAnsi="Calibri" w:cs="Calibri"/>
                <w:sz w:val="20"/>
                <w:szCs w:val="20"/>
                <w:bdr w:val="none" w:sz="0" w:space="0" w:color="auto" w:frame="1"/>
                <w:lang w:eastAsia="en-GB"/>
              </w:rPr>
              <w:t>Business fluency in English necessary</w:t>
            </w:r>
          </w:p>
          <w:p w14:paraId="57F769A9" w14:textId="60FD26CF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6BC8C" w14:textId="77777777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EF0D1" w14:textId="375A1EF5" w:rsidR="00666CF3" w:rsidRPr="00653F73" w:rsidRDefault="00666CF3" w:rsidP="008F4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91" w14:paraId="5BE4ABDA" w14:textId="77777777" w:rsidTr="00AA5E74">
        <w:tc>
          <w:tcPr>
            <w:tcW w:w="13750" w:type="dxa"/>
          </w:tcPr>
          <w:p w14:paraId="2E32549C" w14:textId="2087DF66" w:rsidR="00AD4A91" w:rsidRPr="00653F73" w:rsidRDefault="00AD4A91" w:rsidP="00653F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4A91" w:rsidRPr="00133506" w14:paraId="4B3A49AB" w14:textId="77777777" w:rsidTr="00AA5E74">
        <w:trPr>
          <w:trHeight w:hRule="exact" w:val="7166"/>
        </w:trPr>
        <w:tc>
          <w:tcPr>
            <w:tcW w:w="13750" w:type="dxa"/>
          </w:tcPr>
          <w:p w14:paraId="1E77DF4E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Training provided by Impactful Governance – CIC (Kickstart Gateway)</w:t>
            </w:r>
          </w:p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569336D4" w14:textId="503A6C70" w:rsidR="00AD4A91" w:rsidRPr="00C868A6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7B3678BB" w:rsidR="00AD4A91" w:rsidRDefault="00AD4A91"/>
    <w:tbl>
      <w:tblPr>
        <w:tblStyle w:val="TableGrid"/>
        <w:tblW w:w="14520" w:type="dxa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926"/>
        <w:gridCol w:w="1352"/>
        <w:gridCol w:w="1198"/>
        <w:gridCol w:w="1163"/>
        <w:gridCol w:w="1457"/>
        <w:gridCol w:w="2560"/>
        <w:gridCol w:w="1459"/>
        <w:gridCol w:w="1895"/>
        <w:gridCol w:w="1376"/>
      </w:tblGrid>
      <w:tr w:rsidR="00FF145C" w:rsidRPr="00AD4A91" w14:paraId="7C7028BC" w14:textId="77777777" w:rsidTr="00B2228E">
        <w:trPr>
          <w:trHeight w:val="715"/>
        </w:trPr>
        <w:tc>
          <w:tcPr>
            <w:tcW w:w="14520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lastRenderedPageBreak/>
              <w:t>If your vacancies are in more than one location, please complete a separate row for each</w:t>
            </w:r>
          </w:p>
        </w:tc>
      </w:tr>
      <w:tr w:rsidR="00F668EF" w:rsidRPr="00AD4A91" w14:paraId="26974753" w14:textId="77777777" w:rsidTr="006B7DB9">
        <w:trPr>
          <w:trHeight w:val="2890"/>
        </w:trPr>
        <w:tc>
          <w:tcPr>
            <w:tcW w:w="1134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926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52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198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163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145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F668EF" w:rsidRPr="00071433" w14:paraId="4A75B571" w14:textId="77777777" w:rsidTr="006B7DB9">
        <w:trPr>
          <w:trHeight w:val="38"/>
        </w:trPr>
        <w:tc>
          <w:tcPr>
            <w:tcW w:w="1134" w:type="dxa"/>
          </w:tcPr>
          <w:p w14:paraId="5E2E6A8C" w14:textId="63DAD5D5" w:rsidR="00417B89" w:rsidRPr="00172B81" w:rsidRDefault="006B7DB9" w:rsidP="00D114E7">
            <w:pPr>
              <w:pStyle w:val="ListParagraph"/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6B7DB9">
              <w:rPr>
                <w:b/>
                <w:sz w:val="22"/>
                <w:szCs w:val="22"/>
              </w:rPr>
              <w:t>KT16 0AT</w:t>
            </w:r>
          </w:p>
        </w:tc>
        <w:tc>
          <w:tcPr>
            <w:tcW w:w="926" w:type="dxa"/>
          </w:tcPr>
          <w:p w14:paraId="35BA5979" w14:textId="7E63C9A3" w:rsidR="00417B89" w:rsidRPr="00172B81" w:rsidRDefault="00680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14:paraId="396DBD29" w14:textId="401CB346" w:rsidR="00417B89" w:rsidRPr="00172B81" w:rsidRDefault="007D3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32D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47EC5"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198" w:type="dxa"/>
          </w:tcPr>
          <w:p w14:paraId="49073DEA" w14:textId="3233104D" w:rsidR="00417B89" w:rsidRPr="00172B81" w:rsidRDefault="00847EC5">
            <w:pPr>
              <w:rPr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114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35DF145F" w14:textId="7D8531C2" w:rsidR="00417B89" w:rsidRPr="00172B81" w:rsidRDefault="00F5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57" w:type="dxa"/>
          </w:tcPr>
          <w:p w14:paraId="60DCD5FD" w14:textId="77777777" w:rsidR="006B7DB9" w:rsidRDefault="00A97E74" w:rsidP="00FB7454">
            <w:pPr>
              <w:rPr>
                <w:b/>
                <w:sz w:val="22"/>
                <w:szCs w:val="22"/>
              </w:rPr>
            </w:pPr>
            <w:r w:rsidRPr="00A97E74">
              <w:rPr>
                <w:b/>
                <w:sz w:val="22"/>
                <w:szCs w:val="22"/>
              </w:rPr>
              <w:t>Lodge 1&amp;2, Lyne Hill</w:t>
            </w:r>
            <w:r w:rsidR="006B7DB9">
              <w:rPr>
                <w:b/>
                <w:sz w:val="22"/>
                <w:szCs w:val="22"/>
              </w:rPr>
              <w:t xml:space="preserve">, </w:t>
            </w:r>
            <w:r w:rsidR="006B7DB9" w:rsidRPr="006B7DB9">
              <w:rPr>
                <w:b/>
                <w:sz w:val="22"/>
                <w:szCs w:val="22"/>
              </w:rPr>
              <w:t>Lodge Lyne Crossing Road</w:t>
            </w:r>
            <w:r w:rsidR="006B7DB9">
              <w:rPr>
                <w:b/>
                <w:sz w:val="22"/>
                <w:szCs w:val="22"/>
              </w:rPr>
              <w:t xml:space="preserve">, Chertsey, Kent </w:t>
            </w:r>
          </w:p>
          <w:p w14:paraId="4A1D5C99" w14:textId="410B12CB" w:rsidR="007935D2" w:rsidRPr="00172B81" w:rsidRDefault="006B7DB9" w:rsidP="00FB7454">
            <w:pPr>
              <w:rPr>
                <w:b/>
                <w:sz w:val="22"/>
                <w:szCs w:val="22"/>
              </w:rPr>
            </w:pPr>
            <w:r w:rsidRPr="006B7DB9">
              <w:rPr>
                <w:b/>
                <w:sz w:val="22"/>
                <w:szCs w:val="22"/>
              </w:rPr>
              <w:t>KT16 0AT</w:t>
            </w:r>
          </w:p>
        </w:tc>
        <w:tc>
          <w:tcPr>
            <w:tcW w:w="2560" w:type="dxa"/>
          </w:tcPr>
          <w:p w14:paraId="23A0499C" w14:textId="2C218FF1" w:rsidR="00C15A18" w:rsidRDefault="00680F58" w:rsidP="008F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Kelly</w:t>
            </w:r>
          </w:p>
          <w:p w14:paraId="3A6506D6" w14:textId="5F0AA3FC" w:rsidR="008F58D8" w:rsidRPr="00502E4E" w:rsidRDefault="008F58D8" w:rsidP="008F58D8">
            <w:pPr>
              <w:rPr>
                <w:rFonts w:ascii="Arial" w:hAnsi="Arial" w:cs="Arial"/>
              </w:rPr>
            </w:pPr>
            <w:r w:rsidRPr="00502E4E">
              <w:rPr>
                <w:rFonts w:ascii="Arial" w:hAnsi="Arial" w:cs="Arial"/>
              </w:rPr>
              <w:t xml:space="preserve">Tel: </w:t>
            </w:r>
            <w:r w:rsidR="00276A8B" w:rsidRPr="00276A8B">
              <w:rPr>
                <w:rFonts w:ascii="Arial" w:hAnsi="Arial" w:cs="Arial"/>
              </w:rPr>
              <w:t>07983975198</w:t>
            </w:r>
          </w:p>
          <w:p w14:paraId="63763C7C" w14:textId="7C2C0684" w:rsidR="00F668EF" w:rsidRPr="00172B81" w:rsidRDefault="008F58D8" w:rsidP="004C130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Email: </w:t>
            </w:r>
            <w:r w:rsidR="00680F58" w:rsidRPr="00680F5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jane.kelly@creativeoutput.co.uk</w:t>
            </w:r>
          </w:p>
        </w:tc>
        <w:tc>
          <w:tcPr>
            <w:tcW w:w="1459" w:type="dxa"/>
          </w:tcPr>
          <w:p w14:paraId="00624E33" w14:textId="701EFED9" w:rsidR="00417B89" w:rsidRPr="00172B81" w:rsidRDefault="008E3661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895" w:type="dxa"/>
          </w:tcPr>
          <w:p w14:paraId="4A086285" w14:textId="2D1403FC" w:rsidR="00172B81" w:rsidRDefault="00172B81" w:rsidP="00172B81">
            <w:pPr>
              <w:rPr>
                <w:rFonts w:ascii="Arial" w:hAnsi="Arial" w:cs="Arial"/>
              </w:rPr>
            </w:pPr>
            <w:r w:rsidRPr="00172B81">
              <w:rPr>
                <w:rFonts w:ascii="Arial" w:hAnsi="Arial" w:cs="Arial"/>
              </w:rPr>
              <w:t>CV by email &amp; interview appointment time to be agreed with employer by phone</w:t>
            </w:r>
            <w:r w:rsidR="007935D2">
              <w:rPr>
                <w:rFonts w:ascii="Arial" w:hAnsi="Arial" w:cs="Arial"/>
              </w:rPr>
              <w:t xml:space="preserve"> or by email: </w:t>
            </w:r>
            <w:hyperlink r:id="rId10" w:history="1">
              <w:r w:rsidR="002E6837" w:rsidRPr="00220003">
                <w:rPr>
                  <w:rStyle w:val="Hyperlink"/>
                </w:rPr>
                <w:t>info@urnsuk.com</w:t>
              </w:r>
            </w:hyperlink>
            <w:r w:rsidR="002E6837">
              <w:t xml:space="preserve"> </w:t>
            </w:r>
          </w:p>
          <w:p w14:paraId="79B5851D" w14:textId="77777777" w:rsidR="00417B89" w:rsidRPr="00172B81" w:rsidRDefault="00417B89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BAE39" w14:textId="39E33BE1" w:rsidR="00172B81" w:rsidRPr="00172B81" w:rsidRDefault="00172B81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9FB5842" w14:textId="5C41AFA9" w:rsidR="00417B89" w:rsidRPr="00172B81" w:rsidRDefault="007D3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 w:rsidR="007271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Pr="007D3AF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33928AD" w14:textId="12DA2195" w:rsidR="00CE7652" w:rsidRDefault="00CE7652"/>
    <w:sectPr w:rsidR="00CE7652" w:rsidSect="00050EBC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B0CF" w14:textId="77777777" w:rsidR="00630235" w:rsidRDefault="00630235" w:rsidP="00AB11B6">
      <w:r>
        <w:separator/>
      </w:r>
    </w:p>
  </w:endnote>
  <w:endnote w:type="continuationSeparator" w:id="0">
    <w:p w14:paraId="3BA8E2AE" w14:textId="77777777" w:rsidR="00630235" w:rsidRDefault="00630235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16D6" w14:textId="77777777" w:rsidR="00630235" w:rsidRDefault="00630235" w:rsidP="00AB11B6">
      <w:r>
        <w:separator/>
      </w:r>
    </w:p>
  </w:footnote>
  <w:footnote w:type="continuationSeparator" w:id="0">
    <w:p w14:paraId="54E0A2A3" w14:textId="77777777" w:rsidR="00630235" w:rsidRDefault="00630235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D9"/>
    <w:multiLevelType w:val="hybridMultilevel"/>
    <w:tmpl w:val="45E278F4"/>
    <w:lvl w:ilvl="0" w:tplc="5ECC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C9B"/>
    <w:multiLevelType w:val="multilevel"/>
    <w:tmpl w:val="9CE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14C33"/>
    <w:multiLevelType w:val="multilevel"/>
    <w:tmpl w:val="F63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5785F"/>
    <w:multiLevelType w:val="hybridMultilevel"/>
    <w:tmpl w:val="6AFA6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6091CB8"/>
    <w:multiLevelType w:val="hybridMultilevel"/>
    <w:tmpl w:val="AB9896C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BAF14ED"/>
    <w:multiLevelType w:val="hybridMultilevel"/>
    <w:tmpl w:val="9A1A583C"/>
    <w:lvl w:ilvl="0" w:tplc="3954DA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1CA6"/>
    <w:multiLevelType w:val="multilevel"/>
    <w:tmpl w:val="A07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6151"/>
    <w:multiLevelType w:val="hybridMultilevel"/>
    <w:tmpl w:val="554EE3E2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57EE"/>
    <w:multiLevelType w:val="hybridMultilevel"/>
    <w:tmpl w:val="E7CE6E56"/>
    <w:lvl w:ilvl="0" w:tplc="19262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60F536D"/>
    <w:multiLevelType w:val="hybridMultilevel"/>
    <w:tmpl w:val="781A1A04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126"/>
    <w:multiLevelType w:val="hybridMultilevel"/>
    <w:tmpl w:val="4C4A2D58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86CD2"/>
    <w:multiLevelType w:val="multilevel"/>
    <w:tmpl w:val="0FC8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9"/>
  </w:num>
  <w:num w:numId="5">
    <w:abstractNumId w:val="15"/>
  </w:num>
  <w:num w:numId="6">
    <w:abstractNumId w:val="0"/>
  </w:num>
  <w:num w:numId="7">
    <w:abstractNumId w:val="10"/>
  </w:num>
  <w:num w:numId="8">
    <w:abstractNumId w:val="20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2500C"/>
    <w:rsid w:val="00032CC7"/>
    <w:rsid w:val="000429C3"/>
    <w:rsid w:val="00050EBC"/>
    <w:rsid w:val="00071433"/>
    <w:rsid w:val="00077857"/>
    <w:rsid w:val="00095252"/>
    <w:rsid w:val="000B392E"/>
    <w:rsid w:val="000D0AD1"/>
    <w:rsid w:val="000D3EE4"/>
    <w:rsid w:val="000D691E"/>
    <w:rsid w:val="000E1DCE"/>
    <w:rsid w:val="000E5640"/>
    <w:rsid w:val="0011449A"/>
    <w:rsid w:val="0011495F"/>
    <w:rsid w:val="001150E7"/>
    <w:rsid w:val="00121523"/>
    <w:rsid w:val="001527F4"/>
    <w:rsid w:val="00161FDE"/>
    <w:rsid w:val="00166BA9"/>
    <w:rsid w:val="00172B81"/>
    <w:rsid w:val="001745BC"/>
    <w:rsid w:val="00175A9B"/>
    <w:rsid w:val="0017621A"/>
    <w:rsid w:val="0018106F"/>
    <w:rsid w:val="001968B8"/>
    <w:rsid w:val="001A6504"/>
    <w:rsid w:val="001B43A9"/>
    <w:rsid w:val="001C0F4D"/>
    <w:rsid w:val="001C1F21"/>
    <w:rsid w:val="001D796C"/>
    <w:rsid w:val="001D7D67"/>
    <w:rsid w:val="001E5141"/>
    <w:rsid w:val="00243211"/>
    <w:rsid w:val="00243CE0"/>
    <w:rsid w:val="00245E9A"/>
    <w:rsid w:val="00256F67"/>
    <w:rsid w:val="00274676"/>
    <w:rsid w:val="00276A8B"/>
    <w:rsid w:val="00292583"/>
    <w:rsid w:val="0029407A"/>
    <w:rsid w:val="002975AF"/>
    <w:rsid w:val="002A7698"/>
    <w:rsid w:val="002C1FF9"/>
    <w:rsid w:val="002C7545"/>
    <w:rsid w:val="002E6837"/>
    <w:rsid w:val="003046FA"/>
    <w:rsid w:val="003508BC"/>
    <w:rsid w:val="00366C44"/>
    <w:rsid w:val="003A01ED"/>
    <w:rsid w:val="003A59F6"/>
    <w:rsid w:val="003B199E"/>
    <w:rsid w:val="003E0E0D"/>
    <w:rsid w:val="003E7FE7"/>
    <w:rsid w:val="00400C0C"/>
    <w:rsid w:val="00417B89"/>
    <w:rsid w:val="00440673"/>
    <w:rsid w:val="00466014"/>
    <w:rsid w:val="00477AAB"/>
    <w:rsid w:val="004870C9"/>
    <w:rsid w:val="004925A6"/>
    <w:rsid w:val="00497E67"/>
    <w:rsid w:val="004C130A"/>
    <w:rsid w:val="0051106B"/>
    <w:rsid w:val="00511289"/>
    <w:rsid w:val="005159F0"/>
    <w:rsid w:val="00547898"/>
    <w:rsid w:val="00560686"/>
    <w:rsid w:val="00563A84"/>
    <w:rsid w:val="00583206"/>
    <w:rsid w:val="00593246"/>
    <w:rsid w:val="005952F0"/>
    <w:rsid w:val="005B3563"/>
    <w:rsid w:val="005D0D80"/>
    <w:rsid w:val="005E6A62"/>
    <w:rsid w:val="00601B8E"/>
    <w:rsid w:val="0060762A"/>
    <w:rsid w:val="00614DDA"/>
    <w:rsid w:val="00622382"/>
    <w:rsid w:val="00630050"/>
    <w:rsid w:val="00630235"/>
    <w:rsid w:val="006414D0"/>
    <w:rsid w:val="00653F73"/>
    <w:rsid w:val="00666CF3"/>
    <w:rsid w:val="00670283"/>
    <w:rsid w:val="00680F58"/>
    <w:rsid w:val="006A7D5E"/>
    <w:rsid w:val="006B13B1"/>
    <w:rsid w:val="006B3604"/>
    <w:rsid w:val="006B7DB9"/>
    <w:rsid w:val="006D1DD3"/>
    <w:rsid w:val="006D38E2"/>
    <w:rsid w:val="006E0CE5"/>
    <w:rsid w:val="006E385C"/>
    <w:rsid w:val="006F4C48"/>
    <w:rsid w:val="006F6018"/>
    <w:rsid w:val="00707025"/>
    <w:rsid w:val="007271AB"/>
    <w:rsid w:val="00741FAE"/>
    <w:rsid w:val="0074699A"/>
    <w:rsid w:val="007674BA"/>
    <w:rsid w:val="00774145"/>
    <w:rsid w:val="00783CFB"/>
    <w:rsid w:val="00792664"/>
    <w:rsid w:val="007935D2"/>
    <w:rsid w:val="00795E4F"/>
    <w:rsid w:val="007D0412"/>
    <w:rsid w:val="007D0D54"/>
    <w:rsid w:val="007D3AF2"/>
    <w:rsid w:val="007D4454"/>
    <w:rsid w:val="007E3206"/>
    <w:rsid w:val="007E483D"/>
    <w:rsid w:val="007F7A19"/>
    <w:rsid w:val="00803200"/>
    <w:rsid w:val="00812CF7"/>
    <w:rsid w:val="0082040E"/>
    <w:rsid w:val="00844D36"/>
    <w:rsid w:val="00847EC5"/>
    <w:rsid w:val="0086342E"/>
    <w:rsid w:val="00880ED8"/>
    <w:rsid w:val="008851C5"/>
    <w:rsid w:val="00893C4B"/>
    <w:rsid w:val="008A0E39"/>
    <w:rsid w:val="008D6E47"/>
    <w:rsid w:val="008E0E4E"/>
    <w:rsid w:val="008E25FB"/>
    <w:rsid w:val="008E289D"/>
    <w:rsid w:val="008E3661"/>
    <w:rsid w:val="008E3C6C"/>
    <w:rsid w:val="008F42C7"/>
    <w:rsid w:val="008F49C1"/>
    <w:rsid w:val="008F58D8"/>
    <w:rsid w:val="00900C5C"/>
    <w:rsid w:val="009056C2"/>
    <w:rsid w:val="00913B03"/>
    <w:rsid w:val="00970B69"/>
    <w:rsid w:val="0099741C"/>
    <w:rsid w:val="009A172E"/>
    <w:rsid w:val="009C0E57"/>
    <w:rsid w:val="009E7D83"/>
    <w:rsid w:val="00A31238"/>
    <w:rsid w:val="00A34AAC"/>
    <w:rsid w:val="00A35766"/>
    <w:rsid w:val="00A50163"/>
    <w:rsid w:val="00A55796"/>
    <w:rsid w:val="00A5721C"/>
    <w:rsid w:val="00A97E15"/>
    <w:rsid w:val="00A97E74"/>
    <w:rsid w:val="00AA5E74"/>
    <w:rsid w:val="00AB11B6"/>
    <w:rsid w:val="00AB39E3"/>
    <w:rsid w:val="00AC653A"/>
    <w:rsid w:val="00AD4A91"/>
    <w:rsid w:val="00B10453"/>
    <w:rsid w:val="00B15459"/>
    <w:rsid w:val="00B165DD"/>
    <w:rsid w:val="00B2079F"/>
    <w:rsid w:val="00B2148F"/>
    <w:rsid w:val="00B21966"/>
    <w:rsid w:val="00B2228E"/>
    <w:rsid w:val="00B32DD7"/>
    <w:rsid w:val="00B46F20"/>
    <w:rsid w:val="00B53DFD"/>
    <w:rsid w:val="00B776CB"/>
    <w:rsid w:val="00BB0003"/>
    <w:rsid w:val="00BC5F03"/>
    <w:rsid w:val="00BD685C"/>
    <w:rsid w:val="00BE097D"/>
    <w:rsid w:val="00BE34E8"/>
    <w:rsid w:val="00BE766D"/>
    <w:rsid w:val="00C155B8"/>
    <w:rsid w:val="00C15A18"/>
    <w:rsid w:val="00C33284"/>
    <w:rsid w:val="00C71F64"/>
    <w:rsid w:val="00C868A6"/>
    <w:rsid w:val="00C97EEB"/>
    <w:rsid w:val="00CB75AF"/>
    <w:rsid w:val="00CC1CA1"/>
    <w:rsid w:val="00CD7FDB"/>
    <w:rsid w:val="00CE2F54"/>
    <w:rsid w:val="00CE7652"/>
    <w:rsid w:val="00CE7CCF"/>
    <w:rsid w:val="00CF3CBC"/>
    <w:rsid w:val="00D114E7"/>
    <w:rsid w:val="00D22F42"/>
    <w:rsid w:val="00D267AC"/>
    <w:rsid w:val="00D27CC1"/>
    <w:rsid w:val="00D57333"/>
    <w:rsid w:val="00DA5BAD"/>
    <w:rsid w:val="00DA641C"/>
    <w:rsid w:val="00DA6B7C"/>
    <w:rsid w:val="00DB49BB"/>
    <w:rsid w:val="00DC1A5B"/>
    <w:rsid w:val="00DC55D3"/>
    <w:rsid w:val="00DE503C"/>
    <w:rsid w:val="00E11F14"/>
    <w:rsid w:val="00E17E05"/>
    <w:rsid w:val="00E2100D"/>
    <w:rsid w:val="00E27630"/>
    <w:rsid w:val="00E4090D"/>
    <w:rsid w:val="00E74906"/>
    <w:rsid w:val="00E971EE"/>
    <w:rsid w:val="00EA229B"/>
    <w:rsid w:val="00EA6FD2"/>
    <w:rsid w:val="00EB0A48"/>
    <w:rsid w:val="00EC3BD4"/>
    <w:rsid w:val="00EF3B17"/>
    <w:rsid w:val="00EF6E73"/>
    <w:rsid w:val="00F00531"/>
    <w:rsid w:val="00F3751B"/>
    <w:rsid w:val="00F376BE"/>
    <w:rsid w:val="00F4316C"/>
    <w:rsid w:val="00F52151"/>
    <w:rsid w:val="00F668EF"/>
    <w:rsid w:val="00F66F83"/>
    <w:rsid w:val="00F96EB5"/>
    <w:rsid w:val="00FB7454"/>
    <w:rsid w:val="00FD20B6"/>
    <w:rsid w:val="00FD44B3"/>
    <w:rsid w:val="00FE6F70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link w:val="BodyChar"/>
    <w:uiPriority w:val="99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4D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0A4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odyChar">
    <w:name w:val="Body Char"/>
    <w:link w:val="Body"/>
    <w:uiPriority w:val="99"/>
    <w:rsid w:val="008F58D8"/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urns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5</cp:revision>
  <dcterms:created xsi:type="dcterms:W3CDTF">2021-11-09T13:47:00Z</dcterms:created>
  <dcterms:modified xsi:type="dcterms:W3CDTF">2021-11-09T13:48:00Z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-702815359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